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C111" w14:textId="77777777" w:rsidR="0035053E" w:rsidRDefault="00000000">
      <w:pPr>
        <w:spacing w:after="0" w:line="240" w:lineRule="auto"/>
        <w:jc w:val="center"/>
        <w:rPr>
          <w:b/>
          <w:sz w:val="32"/>
          <w:szCs w:val="32"/>
        </w:rPr>
      </w:pPr>
      <w:r>
        <w:rPr>
          <w:b/>
          <w:sz w:val="32"/>
          <w:szCs w:val="32"/>
        </w:rPr>
        <w:t>Getting Started with Surface, Deep, and Transfer Learning</w:t>
      </w:r>
    </w:p>
    <w:p w14:paraId="3BC2A136" w14:textId="77777777" w:rsidR="0035053E" w:rsidRDefault="00000000">
      <w:pPr>
        <w:spacing w:after="160" w:line="240" w:lineRule="auto"/>
        <w:jc w:val="center"/>
        <w:rPr>
          <w:color w:val="5A5A5A"/>
          <w:sz w:val="28"/>
          <w:szCs w:val="28"/>
        </w:rPr>
      </w:pPr>
      <w:r>
        <w:rPr>
          <w:color w:val="5A5A5A"/>
          <w:sz w:val="28"/>
          <w:szCs w:val="28"/>
        </w:rPr>
        <w:t>Shifting into Teaching for Transfer</w:t>
      </w:r>
    </w:p>
    <w:p w14:paraId="34AF6E02" w14:textId="77777777" w:rsidR="0035053E" w:rsidRDefault="00000000">
      <w:pPr>
        <w:spacing w:after="0" w:line="240" w:lineRule="auto"/>
        <w:ind w:right="270"/>
        <w:jc w:val="center"/>
        <w:rPr>
          <w:color w:val="231F20"/>
          <w:sz w:val="24"/>
          <w:szCs w:val="24"/>
        </w:rPr>
      </w:pPr>
      <w:r>
        <w:rPr>
          <w:color w:val="231F20"/>
          <w:sz w:val="24"/>
          <w:szCs w:val="24"/>
        </w:rPr>
        <w:t>By Isaac Wells</w:t>
      </w:r>
    </w:p>
    <w:p w14:paraId="491C10F4" w14:textId="77777777" w:rsidR="0035053E" w:rsidRDefault="0035053E">
      <w:pPr>
        <w:spacing w:after="0" w:line="240" w:lineRule="auto"/>
        <w:ind w:right="270"/>
        <w:rPr>
          <w:color w:val="231F20"/>
          <w:sz w:val="24"/>
          <w:szCs w:val="24"/>
        </w:rPr>
      </w:pPr>
    </w:p>
    <w:p w14:paraId="54C32C64" w14:textId="77777777" w:rsidR="0035053E" w:rsidRDefault="00000000">
      <w:pPr>
        <w:spacing w:after="0" w:line="240" w:lineRule="auto"/>
        <w:ind w:right="270"/>
        <w:rPr>
          <w:color w:val="231F20"/>
          <w:sz w:val="24"/>
          <w:szCs w:val="24"/>
        </w:rPr>
      </w:pPr>
      <w:r>
        <w:rPr>
          <w:color w:val="231F20"/>
          <w:sz w:val="24"/>
          <w:szCs w:val="24"/>
        </w:rPr>
        <w:t xml:space="preserve">Everyone in education seems to agree on the importance of teaching and learning for transfer, yet the systems we have in place were not built for it. </w:t>
      </w:r>
    </w:p>
    <w:p w14:paraId="5E8AEAAB" w14:textId="77777777" w:rsidR="0035053E" w:rsidRDefault="0035053E">
      <w:pPr>
        <w:spacing w:after="0" w:line="240" w:lineRule="auto"/>
        <w:ind w:right="270"/>
        <w:rPr>
          <w:color w:val="231F20"/>
          <w:sz w:val="24"/>
          <w:szCs w:val="24"/>
        </w:rPr>
      </w:pPr>
    </w:p>
    <w:p w14:paraId="12598302" w14:textId="77777777" w:rsidR="0035053E" w:rsidRDefault="00000000">
      <w:pPr>
        <w:spacing w:after="0" w:line="240" w:lineRule="auto"/>
        <w:ind w:right="270"/>
        <w:rPr>
          <w:color w:val="231F20"/>
          <w:sz w:val="24"/>
          <w:szCs w:val="24"/>
        </w:rPr>
      </w:pPr>
      <w:r>
        <w:rPr>
          <w:color w:val="231F20"/>
          <w:sz w:val="24"/>
          <w:szCs w:val="24"/>
        </w:rPr>
        <w:t xml:space="preserve">In the classroom, the focus is usually on surface-level learning during assessment and instruction. This often seems to work well within the course but falls short when students attempt to apply what they have learned to new or complex situations. </w:t>
      </w:r>
    </w:p>
    <w:p w14:paraId="0F0391E3" w14:textId="77777777" w:rsidR="0035053E" w:rsidRDefault="0035053E">
      <w:pPr>
        <w:spacing w:after="0" w:line="240" w:lineRule="auto"/>
        <w:ind w:right="270"/>
        <w:rPr>
          <w:color w:val="231F20"/>
          <w:sz w:val="24"/>
          <w:szCs w:val="24"/>
        </w:rPr>
      </w:pPr>
    </w:p>
    <w:p w14:paraId="170060BF" w14:textId="77777777" w:rsidR="0035053E" w:rsidRDefault="00000000">
      <w:pPr>
        <w:spacing w:after="0" w:line="240" w:lineRule="auto"/>
        <w:ind w:right="270"/>
        <w:rPr>
          <w:color w:val="231F20"/>
          <w:sz w:val="24"/>
          <w:szCs w:val="24"/>
        </w:rPr>
      </w:pPr>
      <w:r>
        <w:rPr>
          <w:color w:val="231F20"/>
          <w:sz w:val="24"/>
          <w:szCs w:val="24"/>
        </w:rPr>
        <w:t xml:space="preserve">When we teach for transfer, we can make students aware of the relevance of what they are learning and ensure they understand and master the concepts and skills deeply enough to apply them beyond our class or course. </w:t>
      </w:r>
    </w:p>
    <w:p w14:paraId="048C4A78" w14:textId="77777777" w:rsidR="0035053E" w:rsidRDefault="0035053E">
      <w:pPr>
        <w:spacing w:after="0" w:line="240" w:lineRule="auto"/>
        <w:ind w:right="270"/>
        <w:rPr>
          <w:color w:val="231F20"/>
          <w:sz w:val="24"/>
          <w:szCs w:val="24"/>
        </w:rPr>
      </w:pPr>
    </w:p>
    <w:p w14:paraId="15119139" w14:textId="0ABF6397" w:rsidR="0035053E" w:rsidRDefault="00000000">
      <w:pPr>
        <w:spacing w:after="0" w:line="240" w:lineRule="auto"/>
        <w:ind w:right="270"/>
        <w:rPr>
          <w:color w:val="231F20"/>
          <w:sz w:val="24"/>
          <w:szCs w:val="24"/>
        </w:rPr>
      </w:pPr>
      <w:r>
        <w:rPr>
          <w:color w:val="231F20"/>
          <w:sz w:val="24"/>
          <w:szCs w:val="24"/>
        </w:rPr>
        <w:t xml:space="preserve">Well-planned units of study which incorporate goal setting, repeated attempts with revision, and other components of deliberate practice create the conditions for deep and transfer learning. Neural networks in the brain are more developed when students achieve deep and transfer </w:t>
      </w:r>
      <w:r w:rsidR="00E743CF">
        <w:rPr>
          <w:color w:val="231F20"/>
          <w:sz w:val="24"/>
          <w:szCs w:val="24"/>
        </w:rPr>
        <w:t>learning,</w:t>
      </w:r>
      <w:r>
        <w:rPr>
          <w:color w:val="231F20"/>
          <w:sz w:val="24"/>
          <w:szCs w:val="24"/>
        </w:rPr>
        <w:t xml:space="preserve"> and this enables them to retrieve and use information more efficiently and effectively. (National Research Council, 2005)</w:t>
      </w:r>
    </w:p>
    <w:p w14:paraId="5DFCF0F3" w14:textId="77777777" w:rsidR="0035053E" w:rsidRDefault="0035053E">
      <w:pPr>
        <w:spacing w:after="0" w:line="240" w:lineRule="auto"/>
        <w:ind w:right="270"/>
        <w:rPr>
          <w:color w:val="231F20"/>
          <w:sz w:val="24"/>
          <w:szCs w:val="24"/>
        </w:rPr>
      </w:pPr>
    </w:p>
    <w:p w14:paraId="4BB491CA" w14:textId="77777777" w:rsidR="0035053E" w:rsidRDefault="00000000">
      <w:pPr>
        <w:spacing w:after="0" w:line="240" w:lineRule="auto"/>
        <w:ind w:right="270"/>
        <w:rPr>
          <w:color w:val="231F20"/>
          <w:sz w:val="24"/>
          <w:szCs w:val="24"/>
        </w:rPr>
      </w:pPr>
      <w:r>
        <w:rPr>
          <w:color w:val="231F20"/>
          <w:sz w:val="24"/>
          <w:szCs w:val="24"/>
        </w:rPr>
        <w:t>A few relatively simple steps towards teaching for transfer can begin this shift. Three ideas to choose from are listed below.</w:t>
      </w:r>
    </w:p>
    <w:p w14:paraId="6949C15B" w14:textId="77777777" w:rsidR="0035053E" w:rsidRDefault="0035053E">
      <w:pPr>
        <w:spacing w:after="0" w:line="240" w:lineRule="auto"/>
        <w:ind w:right="270"/>
        <w:rPr>
          <w:color w:val="231F20"/>
          <w:sz w:val="24"/>
          <w:szCs w:val="24"/>
        </w:rPr>
      </w:pPr>
    </w:p>
    <w:p w14:paraId="4D8BAB21" w14:textId="77777777" w:rsidR="0035053E" w:rsidRDefault="00000000">
      <w:pPr>
        <w:keepNext/>
        <w:keepLines/>
        <w:spacing w:before="40" w:after="0" w:line="240" w:lineRule="auto"/>
        <w:rPr>
          <w:rFonts w:ascii="Calibri" w:eastAsia="Calibri" w:hAnsi="Calibri" w:cs="Calibri"/>
          <w:color w:val="2F5496"/>
          <w:sz w:val="26"/>
          <w:szCs w:val="26"/>
        </w:rPr>
      </w:pPr>
      <w:r>
        <w:rPr>
          <w:rFonts w:ascii="Calibri" w:eastAsia="Calibri" w:hAnsi="Calibri" w:cs="Calibri"/>
          <w:color w:val="2F5496"/>
          <w:sz w:val="26"/>
          <w:szCs w:val="26"/>
        </w:rPr>
        <w:t>Launch Units and Lessons with An Overarching Question or Goal</w:t>
      </w:r>
    </w:p>
    <w:p w14:paraId="0231007C" w14:textId="77777777" w:rsidR="0035053E" w:rsidRDefault="00000000">
      <w:pPr>
        <w:spacing w:after="0" w:line="240" w:lineRule="auto"/>
        <w:ind w:right="270"/>
        <w:rPr>
          <w:color w:val="231F20"/>
          <w:sz w:val="24"/>
          <w:szCs w:val="24"/>
        </w:rPr>
      </w:pPr>
      <w:r>
        <w:rPr>
          <w:color w:val="231F20"/>
          <w:sz w:val="24"/>
          <w:szCs w:val="24"/>
        </w:rPr>
        <w:t>First, launch units and lessons with an overarching question or goal that sets learners' gaze on the horizon, connects to their learner and cultural identities, and can be used to connect individual lessons and tasks. </w:t>
      </w:r>
    </w:p>
    <w:p w14:paraId="2CEC5350" w14:textId="77777777" w:rsidR="0035053E" w:rsidRDefault="00000000">
      <w:pPr>
        <w:numPr>
          <w:ilvl w:val="0"/>
          <w:numId w:val="14"/>
        </w:numPr>
        <w:spacing w:after="0" w:line="240" w:lineRule="auto"/>
        <w:ind w:right="270"/>
        <w:rPr>
          <w:color w:val="231F20"/>
          <w:sz w:val="24"/>
          <w:szCs w:val="24"/>
        </w:rPr>
      </w:pPr>
      <w:r>
        <w:rPr>
          <w:color w:val="231F20"/>
          <w:sz w:val="24"/>
          <w:szCs w:val="24"/>
        </w:rPr>
        <w:t>Clarify connections between overarching questions goals and students’ assets through questioning and discussion. Inviting students to share their thinking builds trust and reduces the power imbalance between students and teachers.</w:t>
      </w:r>
    </w:p>
    <w:p w14:paraId="0144FBBC" w14:textId="77777777" w:rsidR="0035053E" w:rsidRDefault="00000000">
      <w:pPr>
        <w:numPr>
          <w:ilvl w:val="0"/>
          <w:numId w:val="14"/>
        </w:numPr>
        <w:spacing w:after="0" w:line="240" w:lineRule="auto"/>
        <w:ind w:right="270"/>
        <w:rPr>
          <w:color w:val="231F20"/>
          <w:sz w:val="24"/>
          <w:szCs w:val="24"/>
        </w:rPr>
      </w:pPr>
      <w:r>
        <w:rPr>
          <w:color w:val="231F20"/>
          <w:sz w:val="24"/>
          <w:szCs w:val="24"/>
        </w:rPr>
        <w:lastRenderedPageBreak/>
        <w:t>“What strengths are you bringing to this lesson/task?” “Tell me more about how your understanding of German society in WWII will help us understand the characters in the novels we are going to read.” “Why do you think your self-awareness of feeling different and left out will help you understand these characters?” </w:t>
      </w:r>
    </w:p>
    <w:p w14:paraId="4E7A1358" w14:textId="77777777" w:rsidR="0035053E" w:rsidRDefault="00000000">
      <w:pPr>
        <w:numPr>
          <w:ilvl w:val="0"/>
          <w:numId w:val="14"/>
        </w:numPr>
        <w:spacing w:after="0" w:line="240" w:lineRule="auto"/>
        <w:ind w:right="270"/>
        <w:rPr>
          <w:color w:val="231F20"/>
          <w:sz w:val="24"/>
          <w:szCs w:val="24"/>
        </w:rPr>
      </w:pPr>
      <w:r>
        <w:rPr>
          <w:color w:val="231F20"/>
          <w:sz w:val="24"/>
          <w:szCs w:val="24"/>
        </w:rPr>
        <w:t>“Why do you think our class will do well with this project?” “Can you explain your connection between the problems we solved in the last unit and your predictions about the new unit?”</w:t>
      </w:r>
    </w:p>
    <w:p w14:paraId="3C44EBB7" w14:textId="77777777" w:rsidR="0035053E" w:rsidRDefault="0035053E">
      <w:pPr>
        <w:spacing w:after="0" w:line="240" w:lineRule="auto"/>
        <w:ind w:right="270"/>
        <w:rPr>
          <w:color w:val="231F20"/>
          <w:sz w:val="24"/>
          <w:szCs w:val="24"/>
        </w:rPr>
      </w:pPr>
    </w:p>
    <w:p w14:paraId="3B139B21" w14:textId="77777777" w:rsidR="0035053E" w:rsidRDefault="00000000">
      <w:pPr>
        <w:keepNext/>
        <w:keepLines/>
        <w:spacing w:before="40" w:after="0" w:line="240" w:lineRule="auto"/>
        <w:rPr>
          <w:rFonts w:ascii="Calibri" w:eastAsia="Calibri" w:hAnsi="Calibri" w:cs="Calibri"/>
          <w:color w:val="2F5496"/>
          <w:sz w:val="26"/>
          <w:szCs w:val="26"/>
        </w:rPr>
      </w:pPr>
      <w:r>
        <w:rPr>
          <w:rFonts w:ascii="Calibri" w:eastAsia="Calibri" w:hAnsi="Calibri" w:cs="Calibri"/>
          <w:color w:val="2F5496"/>
          <w:sz w:val="26"/>
          <w:szCs w:val="26"/>
        </w:rPr>
        <w:t xml:space="preserve">Multiple Opportunities to Rehearse and Revise </w:t>
      </w:r>
    </w:p>
    <w:p w14:paraId="7A331E0C" w14:textId="77777777" w:rsidR="0035053E" w:rsidRDefault="00000000">
      <w:pPr>
        <w:spacing w:after="0" w:line="240" w:lineRule="auto"/>
        <w:ind w:right="270"/>
        <w:rPr>
          <w:color w:val="231F20"/>
          <w:sz w:val="24"/>
          <w:szCs w:val="24"/>
        </w:rPr>
      </w:pPr>
      <w:r>
        <w:rPr>
          <w:color w:val="231F20"/>
          <w:sz w:val="24"/>
          <w:szCs w:val="24"/>
        </w:rPr>
        <w:t>Second, ensure students have multiple, culturally responsive opportunities to rehearse and revise their thinking through repeatable, authentic tasks spread over time. Balancing structure and student autonomy increases learner engagement. (Jang et al., 2010)</w:t>
      </w:r>
    </w:p>
    <w:p w14:paraId="1614A321" w14:textId="77777777" w:rsidR="0035053E" w:rsidRDefault="00000000">
      <w:pPr>
        <w:numPr>
          <w:ilvl w:val="0"/>
          <w:numId w:val="13"/>
        </w:numPr>
        <w:spacing w:after="0" w:line="240" w:lineRule="auto"/>
        <w:ind w:right="270"/>
        <w:rPr>
          <w:color w:val="231F20"/>
          <w:sz w:val="24"/>
          <w:szCs w:val="24"/>
        </w:rPr>
      </w:pPr>
      <w:r>
        <w:rPr>
          <w:color w:val="231F20"/>
          <w:sz w:val="24"/>
          <w:szCs w:val="24"/>
        </w:rPr>
        <w:t>Consider learners’ cultural identities and provide options for students to share their ideas and work in ways that are comfortable for them. </w:t>
      </w:r>
    </w:p>
    <w:p w14:paraId="30C2EAB4" w14:textId="77777777" w:rsidR="0035053E" w:rsidRDefault="00000000">
      <w:pPr>
        <w:numPr>
          <w:ilvl w:val="0"/>
          <w:numId w:val="13"/>
        </w:numPr>
        <w:spacing w:after="0" w:line="240" w:lineRule="auto"/>
        <w:ind w:right="270"/>
        <w:rPr>
          <w:color w:val="231F20"/>
          <w:sz w:val="24"/>
          <w:szCs w:val="24"/>
        </w:rPr>
      </w:pPr>
      <w:r>
        <w:rPr>
          <w:color w:val="231F20"/>
          <w:sz w:val="24"/>
          <w:szCs w:val="24"/>
        </w:rPr>
        <w:t>Allow for student choice in when and how they engage by establishing multiple times, spaces, and partnerships that they can choose from and continue to make progress. The more comfortable learners are in their social engagement, the more deeply they can engage intellectually. </w:t>
      </w:r>
    </w:p>
    <w:p w14:paraId="40B2BA55" w14:textId="77777777" w:rsidR="0035053E" w:rsidRDefault="00000000">
      <w:pPr>
        <w:numPr>
          <w:ilvl w:val="0"/>
          <w:numId w:val="13"/>
        </w:numPr>
        <w:spacing w:after="0" w:line="240" w:lineRule="auto"/>
        <w:ind w:right="270"/>
        <w:rPr>
          <w:color w:val="231F20"/>
          <w:sz w:val="24"/>
          <w:szCs w:val="24"/>
        </w:rPr>
      </w:pPr>
      <w:r>
        <w:rPr>
          <w:color w:val="231F20"/>
          <w:sz w:val="24"/>
          <w:szCs w:val="24"/>
        </w:rPr>
        <w:t>Facilitate reflection on the dispositions students are using and developing. For instance, “How has the perseverance you developed as a dancer helped you keep working through this project?” or “How has reflecting on and discussing these characters developed your self-awareness?”</w:t>
      </w:r>
    </w:p>
    <w:p w14:paraId="23A31889" w14:textId="77777777" w:rsidR="0035053E" w:rsidRDefault="0035053E">
      <w:pPr>
        <w:spacing w:after="0" w:line="240" w:lineRule="auto"/>
        <w:ind w:right="270"/>
        <w:rPr>
          <w:color w:val="231F20"/>
          <w:sz w:val="24"/>
          <w:szCs w:val="24"/>
        </w:rPr>
      </w:pPr>
    </w:p>
    <w:p w14:paraId="42F10873" w14:textId="77777777" w:rsidR="0035053E" w:rsidRDefault="00000000">
      <w:pPr>
        <w:keepNext/>
        <w:keepLines/>
        <w:spacing w:before="40" w:after="0" w:line="240" w:lineRule="auto"/>
        <w:rPr>
          <w:rFonts w:ascii="Calibri" w:eastAsia="Calibri" w:hAnsi="Calibri" w:cs="Calibri"/>
          <w:color w:val="2F5496"/>
          <w:sz w:val="26"/>
          <w:szCs w:val="26"/>
        </w:rPr>
      </w:pPr>
      <w:r>
        <w:rPr>
          <w:rFonts w:ascii="Calibri" w:eastAsia="Calibri" w:hAnsi="Calibri" w:cs="Calibri"/>
          <w:color w:val="2F5496"/>
          <w:sz w:val="26"/>
          <w:szCs w:val="26"/>
        </w:rPr>
        <w:t>Design Tasks and Assessments with Transfer in Mind</w:t>
      </w:r>
    </w:p>
    <w:p w14:paraId="33DE04F6" w14:textId="77777777" w:rsidR="0035053E" w:rsidRDefault="00000000">
      <w:pPr>
        <w:spacing w:after="0" w:line="240" w:lineRule="auto"/>
        <w:ind w:right="270"/>
        <w:rPr>
          <w:color w:val="231F20"/>
          <w:sz w:val="24"/>
          <w:szCs w:val="24"/>
        </w:rPr>
      </w:pPr>
      <w:r>
        <w:rPr>
          <w:color w:val="231F20"/>
          <w:sz w:val="24"/>
          <w:szCs w:val="24"/>
        </w:rPr>
        <w:t>Third, design tasks and assessments that require students to apply their learning in various culturally relevant situations. </w:t>
      </w:r>
    </w:p>
    <w:p w14:paraId="67711B65" w14:textId="77777777" w:rsidR="0035053E" w:rsidRDefault="00000000">
      <w:pPr>
        <w:numPr>
          <w:ilvl w:val="0"/>
          <w:numId w:val="12"/>
        </w:numPr>
        <w:spacing w:after="0" w:line="240" w:lineRule="auto"/>
        <w:ind w:right="270"/>
        <w:jc w:val="both"/>
        <w:rPr>
          <w:color w:val="231F20"/>
          <w:sz w:val="24"/>
          <w:szCs w:val="24"/>
        </w:rPr>
      </w:pPr>
      <w:r>
        <w:rPr>
          <w:color w:val="231F20"/>
          <w:sz w:val="24"/>
          <w:szCs w:val="24"/>
        </w:rPr>
        <w:t>Connect to learners’ communities. Find ways to involve or pull from their community and ways to impact the community through students’ learning or the tasks themselves. Is there an opportunity to feature the work of young artists in the community? Can a unit on persuasive writing include interviews of local citizens and letter writing to policymakers?</w:t>
      </w:r>
    </w:p>
    <w:p w14:paraId="7934DD36" w14:textId="77777777" w:rsidR="0035053E" w:rsidRDefault="00000000">
      <w:pPr>
        <w:numPr>
          <w:ilvl w:val="0"/>
          <w:numId w:val="12"/>
        </w:numPr>
        <w:spacing w:after="0" w:line="240" w:lineRule="auto"/>
        <w:ind w:right="270"/>
        <w:jc w:val="both"/>
        <w:rPr>
          <w:color w:val="231F20"/>
          <w:sz w:val="24"/>
          <w:szCs w:val="24"/>
        </w:rPr>
      </w:pPr>
      <w:r>
        <w:rPr>
          <w:color w:val="231F20"/>
          <w:sz w:val="24"/>
          <w:szCs w:val="24"/>
        </w:rPr>
        <w:t xml:space="preserve">Consider criticality and guide students in thinking about how what they are studying, the discussions they are having, and the work they are doing enables them to critique systems and societies. Ask, “Based on your learning, what can we do to challenge harmful and oppressive systems?” </w:t>
      </w:r>
    </w:p>
    <w:p w14:paraId="7C17538E" w14:textId="77777777" w:rsidR="0035053E" w:rsidRDefault="0035053E">
      <w:pPr>
        <w:spacing w:after="0" w:line="240" w:lineRule="auto"/>
        <w:rPr>
          <w:sz w:val="24"/>
          <w:szCs w:val="24"/>
        </w:rPr>
      </w:pPr>
    </w:p>
    <w:p w14:paraId="25ED6101" w14:textId="77777777" w:rsidR="0035053E" w:rsidRDefault="0035053E">
      <w:pPr>
        <w:spacing w:after="0" w:line="240" w:lineRule="auto"/>
        <w:ind w:right="270"/>
        <w:rPr>
          <w:color w:val="231F20"/>
          <w:sz w:val="24"/>
          <w:szCs w:val="24"/>
        </w:rPr>
      </w:pPr>
    </w:p>
    <w:p w14:paraId="1EAF24EE" w14:textId="77777777" w:rsidR="0035053E" w:rsidRDefault="0035053E">
      <w:pPr>
        <w:spacing w:after="0" w:line="240" w:lineRule="auto"/>
        <w:ind w:right="270"/>
        <w:rPr>
          <w:color w:val="231F20"/>
          <w:sz w:val="24"/>
          <w:szCs w:val="24"/>
        </w:rPr>
      </w:pPr>
    </w:p>
    <w:p w14:paraId="40286F77" w14:textId="77777777" w:rsidR="0035053E" w:rsidRDefault="00000000">
      <w:pPr>
        <w:rPr>
          <w:color w:val="231F20"/>
          <w:sz w:val="24"/>
          <w:szCs w:val="24"/>
        </w:rPr>
      </w:pPr>
      <w:r>
        <w:br w:type="page"/>
      </w:r>
    </w:p>
    <w:p w14:paraId="6A48FA20" w14:textId="77777777" w:rsidR="0035053E" w:rsidRDefault="00000000">
      <w:pPr>
        <w:spacing w:after="0" w:line="240" w:lineRule="auto"/>
        <w:ind w:right="270"/>
        <w:rPr>
          <w:color w:val="231F20"/>
          <w:sz w:val="24"/>
          <w:szCs w:val="24"/>
        </w:rPr>
      </w:pPr>
      <w:r>
        <w:rPr>
          <w:color w:val="231F20"/>
          <w:sz w:val="24"/>
          <w:szCs w:val="24"/>
        </w:rPr>
        <w:lastRenderedPageBreak/>
        <w:t xml:space="preserve">The table below provides examples of success criteria and tasks organized by surface, deep, and transfer learning pulled from chapter 8 of Amplify Learner Voice through Culturally Responsive and Sustaining Assessment. Use this tool as a guide as you plan assessment and instruction. </w:t>
      </w:r>
    </w:p>
    <w:p w14:paraId="0CB08BEC" w14:textId="77777777" w:rsidR="0035053E" w:rsidRDefault="0035053E">
      <w:pPr>
        <w:spacing w:after="0" w:line="240" w:lineRule="auto"/>
        <w:ind w:right="270"/>
        <w:rPr>
          <w:i/>
          <w:color w:val="231F20"/>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848"/>
        <w:gridCol w:w="2848"/>
        <w:gridCol w:w="2849"/>
      </w:tblGrid>
      <w:tr w:rsidR="0035053E" w14:paraId="2FF21F6A" w14:textId="77777777">
        <w:tc>
          <w:tcPr>
            <w:tcW w:w="805" w:type="dxa"/>
            <w:vMerge w:val="restart"/>
            <w:shd w:val="clear" w:color="auto" w:fill="000000"/>
          </w:tcPr>
          <w:p w14:paraId="6BF49E98" w14:textId="77777777" w:rsidR="0035053E" w:rsidRDefault="0035053E">
            <w:pPr>
              <w:ind w:left="113" w:right="270"/>
              <w:jc w:val="center"/>
              <w:rPr>
                <w:b/>
                <w:color w:val="231F20"/>
                <w:sz w:val="32"/>
                <w:szCs w:val="32"/>
              </w:rPr>
            </w:pPr>
          </w:p>
        </w:tc>
        <w:tc>
          <w:tcPr>
            <w:tcW w:w="2848" w:type="dxa"/>
            <w:shd w:val="clear" w:color="auto" w:fill="D9D9D9"/>
          </w:tcPr>
          <w:p w14:paraId="22752076" w14:textId="77777777" w:rsidR="0035053E" w:rsidRDefault="00000000">
            <w:pPr>
              <w:ind w:right="270"/>
              <w:rPr>
                <w:b/>
                <w:color w:val="231F20"/>
                <w:sz w:val="32"/>
                <w:szCs w:val="32"/>
              </w:rPr>
            </w:pPr>
            <w:r>
              <w:rPr>
                <w:b/>
                <w:color w:val="231F20"/>
                <w:sz w:val="32"/>
                <w:szCs w:val="32"/>
              </w:rPr>
              <w:t>Surface</w:t>
            </w:r>
          </w:p>
        </w:tc>
        <w:tc>
          <w:tcPr>
            <w:tcW w:w="2848" w:type="dxa"/>
            <w:shd w:val="clear" w:color="auto" w:fill="D9D9D9"/>
          </w:tcPr>
          <w:p w14:paraId="026B106F" w14:textId="77777777" w:rsidR="0035053E" w:rsidRDefault="00000000">
            <w:pPr>
              <w:ind w:right="270"/>
              <w:rPr>
                <w:b/>
                <w:color w:val="231F20"/>
                <w:sz w:val="32"/>
                <w:szCs w:val="32"/>
              </w:rPr>
            </w:pPr>
            <w:r>
              <w:rPr>
                <w:b/>
                <w:color w:val="231F20"/>
                <w:sz w:val="32"/>
                <w:szCs w:val="32"/>
              </w:rPr>
              <w:t>Deep</w:t>
            </w:r>
          </w:p>
        </w:tc>
        <w:tc>
          <w:tcPr>
            <w:tcW w:w="2849" w:type="dxa"/>
            <w:shd w:val="clear" w:color="auto" w:fill="D9D9D9"/>
          </w:tcPr>
          <w:p w14:paraId="60622353" w14:textId="77777777" w:rsidR="0035053E" w:rsidRDefault="00000000">
            <w:pPr>
              <w:ind w:right="270"/>
              <w:rPr>
                <w:b/>
                <w:color w:val="231F20"/>
                <w:sz w:val="32"/>
                <w:szCs w:val="32"/>
              </w:rPr>
            </w:pPr>
            <w:r>
              <w:rPr>
                <w:b/>
                <w:color w:val="231F20"/>
                <w:sz w:val="32"/>
                <w:szCs w:val="32"/>
              </w:rPr>
              <w:t>Transfer</w:t>
            </w:r>
          </w:p>
        </w:tc>
      </w:tr>
      <w:tr w:rsidR="0035053E" w14:paraId="45629E3B" w14:textId="77777777">
        <w:tc>
          <w:tcPr>
            <w:tcW w:w="805" w:type="dxa"/>
            <w:vMerge/>
            <w:shd w:val="clear" w:color="auto" w:fill="000000"/>
          </w:tcPr>
          <w:p w14:paraId="76AC0470" w14:textId="77777777" w:rsidR="0035053E" w:rsidRDefault="0035053E">
            <w:pPr>
              <w:widowControl w:val="0"/>
              <w:pBdr>
                <w:top w:val="nil"/>
                <w:left w:val="nil"/>
                <w:bottom w:val="nil"/>
                <w:right w:val="nil"/>
                <w:between w:val="nil"/>
              </w:pBdr>
              <w:spacing w:line="276" w:lineRule="auto"/>
              <w:rPr>
                <w:b/>
                <w:color w:val="231F20"/>
                <w:sz w:val="32"/>
                <w:szCs w:val="32"/>
              </w:rPr>
            </w:pPr>
          </w:p>
        </w:tc>
        <w:tc>
          <w:tcPr>
            <w:tcW w:w="2848" w:type="dxa"/>
            <w:shd w:val="clear" w:color="auto" w:fill="F2F2F2"/>
          </w:tcPr>
          <w:p w14:paraId="40334236" w14:textId="77777777" w:rsidR="0035053E" w:rsidRDefault="00000000">
            <w:pPr>
              <w:ind w:right="-46"/>
              <w:rPr>
                <w:color w:val="231F20"/>
                <w:sz w:val="20"/>
                <w:szCs w:val="20"/>
              </w:rPr>
            </w:pPr>
            <w:r>
              <w:rPr>
                <w:color w:val="231F20"/>
                <w:sz w:val="20"/>
                <w:szCs w:val="20"/>
              </w:rPr>
              <w:t>Learning new skills, concepts, and strategies in a single context</w:t>
            </w:r>
          </w:p>
        </w:tc>
        <w:tc>
          <w:tcPr>
            <w:tcW w:w="2848" w:type="dxa"/>
            <w:shd w:val="clear" w:color="auto" w:fill="F2F2F2"/>
          </w:tcPr>
          <w:p w14:paraId="097FDF79" w14:textId="77777777" w:rsidR="0035053E" w:rsidRDefault="00000000">
            <w:pPr>
              <w:ind w:right="-46"/>
              <w:rPr>
                <w:b/>
                <w:color w:val="231F20"/>
                <w:sz w:val="20"/>
                <w:szCs w:val="20"/>
              </w:rPr>
            </w:pPr>
            <w:r>
              <w:rPr>
                <w:color w:val="231F20"/>
                <w:sz w:val="20"/>
                <w:szCs w:val="20"/>
              </w:rPr>
              <w:t>Connecting, reorganizing, and synthesizing surface knowledge</w:t>
            </w:r>
          </w:p>
        </w:tc>
        <w:tc>
          <w:tcPr>
            <w:tcW w:w="2849" w:type="dxa"/>
            <w:shd w:val="clear" w:color="auto" w:fill="F2F2F2"/>
          </w:tcPr>
          <w:p w14:paraId="09ACCDDF" w14:textId="77777777" w:rsidR="0035053E" w:rsidRDefault="00000000">
            <w:pPr>
              <w:ind w:right="-46"/>
              <w:rPr>
                <w:color w:val="231F20"/>
                <w:sz w:val="20"/>
                <w:szCs w:val="20"/>
              </w:rPr>
            </w:pPr>
            <w:r>
              <w:rPr>
                <w:color w:val="231F20"/>
                <w:sz w:val="20"/>
                <w:szCs w:val="20"/>
              </w:rPr>
              <w:t>Flexibly applying knowledge in new situations and contexts</w:t>
            </w:r>
          </w:p>
        </w:tc>
      </w:tr>
      <w:tr w:rsidR="0035053E" w14:paraId="0174F9D7" w14:textId="77777777" w:rsidTr="001D1FDE">
        <w:trPr>
          <w:cantSplit/>
          <w:trHeight w:val="1134"/>
        </w:trPr>
        <w:tc>
          <w:tcPr>
            <w:tcW w:w="805" w:type="dxa"/>
            <w:shd w:val="clear" w:color="auto" w:fill="D9D9D9"/>
            <w:textDirection w:val="btLr"/>
          </w:tcPr>
          <w:p w14:paraId="735D1C71" w14:textId="77777777" w:rsidR="0035053E" w:rsidRDefault="00000000">
            <w:pPr>
              <w:ind w:left="113" w:right="270"/>
              <w:jc w:val="center"/>
              <w:rPr>
                <w:b/>
                <w:color w:val="231F20"/>
                <w:sz w:val="28"/>
                <w:szCs w:val="28"/>
              </w:rPr>
            </w:pPr>
            <w:r>
              <w:rPr>
                <w:b/>
                <w:color w:val="231F20"/>
                <w:sz w:val="28"/>
                <w:szCs w:val="28"/>
              </w:rPr>
              <w:t>Sample Success Criteria</w:t>
            </w:r>
          </w:p>
        </w:tc>
        <w:tc>
          <w:tcPr>
            <w:tcW w:w="2848" w:type="dxa"/>
          </w:tcPr>
          <w:p w14:paraId="5619012D" w14:textId="77777777" w:rsidR="0035053E" w:rsidRDefault="00000000" w:rsidP="001D1FDE">
            <w:pPr>
              <w:numPr>
                <w:ilvl w:val="0"/>
                <w:numId w:val="20"/>
              </w:numPr>
              <w:rPr>
                <w:color w:val="231F20"/>
              </w:rPr>
            </w:pPr>
            <w:r>
              <w:rPr>
                <w:color w:val="231F20"/>
                <w:sz w:val="20"/>
                <w:szCs w:val="20"/>
              </w:rPr>
              <w:t>Define Earth’s systems.</w:t>
            </w:r>
          </w:p>
          <w:p w14:paraId="184F0B5E" w14:textId="77777777" w:rsidR="0035053E" w:rsidRDefault="00000000" w:rsidP="001D1FDE">
            <w:pPr>
              <w:numPr>
                <w:ilvl w:val="0"/>
                <w:numId w:val="20"/>
              </w:numPr>
              <w:rPr>
                <w:color w:val="231F20"/>
              </w:rPr>
            </w:pPr>
            <w:r>
              <w:rPr>
                <w:color w:val="231F20"/>
                <w:sz w:val="20"/>
                <w:szCs w:val="20"/>
              </w:rPr>
              <w:t>Recognize and represent proportional relationships.</w:t>
            </w:r>
          </w:p>
          <w:p w14:paraId="2B73DDD5" w14:textId="77777777" w:rsidR="0035053E" w:rsidRDefault="00000000" w:rsidP="001D1FDE">
            <w:pPr>
              <w:numPr>
                <w:ilvl w:val="0"/>
                <w:numId w:val="20"/>
              </w:numPr>
              <w:rPr>
                <w:color w:val="231F20"/>
              </w:rPr>
            </w:pPr>
            <w:r>
              <w:rPr>
                <w:color w:val="231F20"/>
                <w:sz w:val="20"/>
                <w:szCs w:val="20"/>
              </w:rPr>
              <w:t>Describe instances of human impact on Earth’s systems.</w:t>
            </w:r>
          </w:p>
          <w:p w14:paraId="1711EF33" w14:textId="77777777" w:rsidR="0035053E" w:rsidRDefault="0035053E">
            <w:pPr>
              <w:ind w:left="113" w:hanging="184"/>
              <w:rPr>
                <w:color w:val="231F20"/>
                <w:sz w:val="20"/>
                <w:szCs w:val="20"/>
              </w:rPr>
            </w:pPr>
          </w:p>
        </w:tc>
        <w:tc>
          <w:tcPr>
            <w:tcW w:w="2848" w:type="dxa"/>
          </w:tcPr>
          <w:p w14:paraId="2612418F" w14:textId="77777777" w:rsidR="0035053E" w:rsidRDefault="00000000" w:rsidP="001D1FDE">
            <w:pPr>
              <w:numPr>
                <w:ilvl w:val="0"/>
                <w:numId w:val="20"/>
              </w:numPr>
              <w:rPr>
                <w:color w:val="231F20"/>
              </w:rPr>
            </w:pPr>
            <w:r>
              <w:rPr>
                <w:color w:val="231F20"/>
                <w:sz w:val="20"/>
                <w:szCs w:val="20"/>
              </w:rPr>
              <w:t>Explain cause-and-effect relationships between humans and Earth’s systems.</w:t>
            </w:r>
          </w:p>
          <w:p w14:paraId="2569D01C" w14:textId="77777777" w:rsidR="0035053E" w:rsidRDefault="00000000" w:rsidP="001D1FDE">
            <w:pPr>
              <w:numPr>
                <w:ilvl w:val="0"/>
                <w:numId w:val="20"/>
              </w:numPr>
              <w:rPr>
                <w:color w:val="231F20"/>
              </w:rPr>
            </w:pPr>
            <w:r>
              <w:rPr>
                <w:color w:val="231F20"/>
                <w:sz w:val="20"/>
                <w:szCs w:val="20"/>
              </w:rPr>
              <w:t>Compare and contrast multiple perspectives on the role of human actions in changes in Earth’s systems. </w:t>
            </w:r>
          </w:p>
          <w:p w14:paraId="67618EBF" w14:textId="77777777" w:rsidR="0035053E" w:rsidRDefault="00000000" w:rsidP="001D1FDE">
            <w:pPr>
              <w:numPr>
                <w:ilvl w:val="0"/>
                <w:numId w:val="20"/>
              </w:numPr>
              <w:rPr>
                <w:color w:val="231F20"/>
              </w:rPr>
            </w:pPr>
            <w:r>
              <w:rPr>
                <w:color w:val="231F20"/>
                <w:sz w:val="20"/>
                <w:szCs w:val="20"/>
              </w:rPr>
              <w:t>Provide and receive feedback on written work and make revisions for content and craft.</w:t>
            </w:r>
          </w:p>
        </w:tc>
        <w:tc>
          <w:tcPr>
            <w:tcW w:w="2849" w:type="dxa"/>
          </w:tcPr>
          <w:p w14:paraId="24AE27A8" w14:textId="77777777" w:rsidR="0035053E" w:rsidRDefault="00000000" w:rsidP="001D1FDE">
            <w:pPr>
              <w:numPr>
                <w:ilvl w:val="0"/>
                <w:numId w:val="20"/>
              </w:numPr>
              <w:rPr>
                <w:color w:val="231F20"/>
              </w:rPr>
            </w:pPr>
            <w:r>
              <w:rPr>
                <w:color w:val="231F20"/>
                <w:sz w:val="20"/>
                <w:szCs w:val="20"/>
              </w:rPr>
              <w:t>Write arguments to support claims with clear evidence and reasons in content areas. </w:t>
            </w:r>
          </w:p>
          <w:p w14:paraId="48340B95" w14:textId="77777777" w:rsidR="0035053E" w:rsidRDefault="00000000" w:rsidP="001D1FDE">
            <w:pPr>
              <w:numPr>
                <w:ilvl w:val="0"/>
                <w:numId w:val="20"/>
              </w:numPr>
              <w:rPr>
                <w:color w:val="231F20"/>
              </w:rPr>
            </w:pPr>
            <w:r>
              <w:rPr>
                <w:color w:val="231F20"/>
                <w:sz w:val="20"/>
                <w:szCs w:val="20"/>
              </w:rPr>
              <w:t>Present and evaluate predictions about future cause-and-effect relationships based in evidence.</w:t>
            </w:r>
          </w:p>
          <w:p w14:paraId="0FAD2BC6" w14:textId="77777777" w:rsidR="0035053E" w:rsidRDefault="0035053E">
            <w:pPr>
              <w:ind w:left="113" w:hanging="184"/>
              <w:rPr>
                <w:color w:val="231F20"/>
                <w:sz w:val="20"/>
                <w:szCs w:val="20"/>
              </w:rPr>
            </w:pPr>
          </w:p>
        </w:tc>
      </w:tr>
      <w:tr w:rsidR="0035053E" w14:paraId="35DC288B" w14:textId="77777777" w:rsidTr="001D1FDE">
        <w:trPr>
          <w:cantSplit/>
          <w:trHeight w:val="1134"/>
        </w:trPr>
        <w:tc>
          <w:tcPr>
            <w:tcW w:w="805" w:type="dxa"/>
            <w:shd w:val="clear" w:color="auto" w:fill="D9D9D9"/>
            <w:textDirection w:val="btLr"/>
          </w:tcPr>
          <w:p w14:paraId="7FA15557" w14:textId="77777777" w:rsidR="0035053E" w:rsidRDefault="00000000">
            <w:pPr>
              <w:ind w:left="113" w:right="270"/>
              <w:jc w:val="center"/>
              <w:rPr>
                <w:b/>
                <w:color w:val="231F20"/>
                <w:sz w:val="28"/>
                <w:szCs w:val="28"/>
              </w:rPr>
            </w:pPr>
            <w:r>
              <w:rPr>
                <w:b/>
                <w:color w:val="231F20"/>
                <w:sz w:val="28"/>
                <w:szCs w:val="28"/>
              </w:rPr>
              <w:t>Sample Tasks</w:t>
            </w:r>
          </w:p>
        </w:tc>
        <w:tc>
          <w:tcPr>
            <w:tcW w:w="2848" w:type="dxa"/>
          </w:tcPr>
          <w:p w14:paraId="6B53D933" w14:textId="77777777" w:rsidR="0035053E" w:rsidRDefault="00000000" w:rsidP="001D1FDE">
            <w:pPr>
              <w:numPr>
                <w:ilvl w:val="0"/>
                <w:numId w:val="20"/>
              </w:numPr>
              <w:rPr>
                <w:color w:val="231F20"/>
              </w:rPr>
            </w:pPr>
            <w:r>
              <w:rPr>
                <w:color w:val="231F20"/>
                <w:sz w:val="20"/>
                <w:szCs w:val="20"/>
              </w:rPr>
              <w:t>Take notes on multiple sources (text, video, audio) related to human impact on Earth's systems. </w:t>
            </w:r>
          </w:p>
          <w:p w14:paraId="0AC062CE" w14:textId="77777777" w:rsidR="0035053E" w:rsidRDefault="00000000" w:rsidP="001D1FDE">
            <w:pPr>
              <w:numPr>
                <w:ilvl w:val="0"/>
                <w:numId w:val="20"/>
              </w:numPr>
              <w:rPr>
                <w:color w:val="231F20"/>
              </w:rPr>
            </w:pPr>
            <w:r>
              <w:rPr>
                <w:color w:val="231F20"/>
                <w:sz w:val="20"/>
                <w:szCs w:val="20"/>
              </w:rPr>
              <w:t xml:space="preserve">Write brief reports on specific examples of human impact on Earth’s systems. </w:t>
            </w:r>
          </w:p>
        </w:tc>
        <w:tc>
          <w:tcPr>
            <w:tcW w:w="2848" w:type="dxa"/>
          </w:tcPr>
          <w:p w14:paraId="119B3442" w14:textId="77777777" w:rsidR="0035053E" w:rsidRDefault="00000000" w:rsidP="001D1FDE">
            <w:pPr>
              <w:numPr>
                <w:ilvl w:val="0"/>
                <w:numId w:val="20"/>
              </w:numPr>
              <w:rPr>
                <w:color w:val="231F20"/>
              </w:rPr>
            </w:pPr>
            <w:r>
              <w:rPr>
                <w:color w:val="231F20"/>
                <w:sz w:val="20"/>
                <w:szCs w:val="20"/>
              </w:rPr>
              <w:t>Evaluate claims and arguments regarding human impact on Earth’s systems.</w:t>
            </w:r>
          </w:p>
          <w:p w14:paraId="0A307D08" w14:textId="77777777" w:rsidR="0035053E" w:rsidRDefault="00000000" w:rsidP="001D1FDE">
            <w:pPr>
              <w:numPr>
                <w:ilvl w:val="0"/>
                <w:numId w:val="20"/>
              </w:numPr>
              <w:rPr>
                <w:color w:val="231F20"/>
              </w:rPr>
            </w:pPr>
            <w:r>
              <w:rPr>
                <w:color w:val="231F20"/>
                <w:sz w:val="20"/>
                <w:szCs w:val="20"/>
              </w:rPr>
              <w:t>Compare and contrast multiple perspectives regarding human impact on the environment. Cite specific evidence from texts and other resources. </w:t>
            </w:r>
          </w:p>
          <w:p w14:paraId="0139401A" w14:textId="77777777" w:rsidR="0035053E" w:rsidRDefault="00000000" w:rsidP="001D1FDE">
            <w:pPr>
              <w:numPr>
                <w:ilvl w:val="0"/>
                <w:numId w:val="20"/>
              </w:numPr>
              <w:rPr>
                <w:color w:val="231F20"/>
              </w:rPr>
            </w:pPr>
            <w:r>
              <w:rPr>
                <w:color w:val="231F20"/>
                <w:sz w:val="20"/>
                <w:szCs w:val="20"/>
              </w:rPr>
              <w:t>Make predictions based on evidence. Work with a team to use what you have learned about human impacts on nature to create a model to predict changes in nature as human populations increase in a region you select.</w:t>
            </w:r>
          </w:p>
        </w:tc>
        <w:tc>
          <w:tcPr>
            <w:tcW w:w="2849" w:type="dxa"/>
          </w:tcPr>
          <w:p w14:paraId="0C5CCEA9" w14:textId="77777777" w:rsidR="0035053E" w:rsidRDefault="00000000" w:rsidP="001D1FDE">
            <w:pPr>
              <w:numPr>
                <w:ilvl w:val="0"/>
                <w:numId w:val="20"/>
              </w:numPr>
              <w:rPr>
                <w:color w:val="231F20"/>
              </w:rPr>
            </w:pPr>
            <w:r>
              <w:rPr>
                <w:color w:val="231F20"/>
                <w:sz w:val="20"/>
                <w:szCs w:val="20"/>
              </w:rPr>
              <w:t xml:space="preserve">Share your predictions with a larger audience. Write an article or pamphlet, record an </w:t>
            </w:r>
            <w:proofErr w:type="gramStart"/>
            <w:r>
              <w:rPr>
                <w:color w:val="231F20"/>
                <w:sz w:val="20"/>
                <w:szCs w:val="20"/>
              </w:rPr>
              <w:t>interview</w:t>
            </w:r>
            <w:proofErr w:type="gramEnd"/>
            <w:r>
              <w:rPr>
                <w:color w:val="231F20"/>
                <w:sz w:val="20"/>
                <w:szCs w:val="20"/>
              </w:rPr>
              <w:t xml:space="preserve"> or debate, or find another way to influence opinions beyond your classroom. </w:t>
            </w:r>
          </w:p>
          <w:p w14:paraId="5F70D920" w14:textId="77777777" w:rsidR="0035053E" w:rsidRDefault="00000000" w:rsidP="001D1FDE">
            <w:pPr>
              <w:numPr>
                <w:ilvl w:val="0"/>
                <w:numId w:val="20"/>
              </w:numPr>
              <w:rPr>
                <w:color w:val="231F20"/>
              </w:rPr>
            </w:pPr>
            <w:r>
              <w:rPr>
                <w:color w:val="231F20"/>
                <w:sz w:val="20"/>
                <w:szCs w:val="20"/>
              </w:rPr>
              <w:t xml:space="preserve">Present to a group. Use what you have learned to make general recommendations for </w:t>
            </w:r>
            <w:proofErr w:type="gramStart"/>
            <w:r>
              <w:rPr>
                <w:color w:val="231F20"/>
                <w:sz w:val="20"/>
                <w:szCs w:val="20"/>
              </w:rPr>
              <w:t>whether or not</w:t>
            </w:r>
            <w:proofErr w:type="gramEnd"/>
            <w:r>
              <w:rPr>
                <w:color w:val="231F20"/>
                <w:sz w:val="20"/>
                <w:szCs w:val="20"/>
              </w:rPr>
              <w:t xml:space="preserve"> scientists should have more access to and influence with policy makers.</w:t>
            </w:r>
          </w:p>
          <w:p w14:paraId="07467AA8" w14:textId="77777777" w:rsidR="0035053E" w:rsidRDefault="00000000" w:rsidP="001D1FDE">
            <w:pPr>
              <w:numPr>
                <w:ilvl w:val="0"/>
                <w:numId w:val="20"/>
              </w:numPr>
              <w:rPr>
                <w:color w:val="231F20"/>
              </w:rPr>
            </w:pPr>
            <w:r>
              <w:rPr>
                <w:color w:val="231F20"/>
                <w:sz w:val="20"/>
                <w:szCs w:val="20"/>
              </w:rPr>
              <w:t xml:space="preserve">Analyze the impact of humans on Earth’s systems and how these changes impact different groups of people, especially historically marginalized communities. </w:t>
            </w:r>
          </w:p>
        </w:tc>
      </w:tr>
    </w:tbl>
    <w:p w14:paraId="5A0C2819" w14:textId="77777777" w:rsidR="0035053E" w:rsidRDefault="0035053E">
      <w:pPr>
        <w:spacing w:after="0" w:line="240" w:lineRule="auto"/>
        <w:ind w:right="270"/>
        <w:rPr>
          <w:color w:val="231F20"/>
          <w:sz w:val="24"/>
          <w:szCs w:val="24"/>
        </w:rPr>
      </w:pPr>
    </w:p>
    <w:p w14:paraId="1F6B2B7D" w14:textId="77777777" w:rsidR="0035053E" w:rsidRDefault="00000000">
      <w:pPr>
        <w:spacing w:after="0" w:line="240" w:lineRule="auto"/>
        <w:ind w:right="270"/>
        <w:rPr>
          <w:i/>
          <w:color w:val="231F20"/>
          <w:sz w:val="16"/>
          <w:szCs w:val="16"/>
        </w:rPr>
      </w:pPr>
      <w:r>
        <w:rPr>
          <w:i/>
          <w:color w:val="231F20"/>
          <w:sz w:val="16"/>
          <w:szCs w:val="16"/>
        </w:rPr>
        <w:t>The abbreviated definitions of surface, deep, and transfer learning were adapted from ideas in Teaching for transfer: A guide for Designing Learning with Real-World Application by Michael McDowell and Jay McTighe.</w:t>
      </w:r>
    </w:p>
    <w:p w14:paraId="011BF4C2" w14:textId="6B5C4F4D" w:rsidR="0035053E" w:rsidRDefault="0035053E">
      <w:pPr>
        <w:rPr>
          <w:color w:val="353744"/>
          <w:sz w:val="24"/>
          <w:szCs w:val="24"/>
        </w:rPr>
      </w:pPr>
    </w:p>
    <w:p w14:paraId="28896CF4" w14:textId="77777777" w:rsidR="0035053E" w:rsidRDefault="00000000">
      <w:pPr>
        <w:spacing w:after="0" w:line="240" w:lineRule="auto"/>
        <w:ind w:left="720" w:hanging="720"/>
        <w:rPr>
          <w:sz w:val="24"/>
          <w:szCs w:val="24"/>
        </w:rPr>
      </w:pPr>
      <w:r>
        <w:rPr>
          <w:color w:val="353744"/>
          <w:sz w:val="24"/>
          <w:szCs w:val="24"/>
        </w:rPr>
        <w:lastRenderedPageBreak/>
        <w:t>Jang, H., Reeve, J., &amp; Deci, E.L. (2010). Engaging students in learning activities: It is not autonomy support or structure but autonomy support and structure</w:t>
      </w:r>
      <w:r>
        <w:rPr>
          <w:i/>
          <w:color w:val="353744"/>
          <w:sz w:val="24"/>
          <w:szCs w:val="24"/>
        </w:rPr>
        <w:t>. Journal of Educational Psychology</w:t>
      </w:r>
      <w:r>
        <w:rPr>
          <w:color w:val="353744"/>
          <w:sz w:val="24"/>
          <w:szCs w:val="24"/>
        </w:rPr>
        <w:t xml:space="preserve">, </w:t>
      </w:r>
      <w:r>
        <w:rPr>
          <w:i/>
          <w:color w:val="353744"/>
          <w:sz w:val="24"/>
          <w:szCs w:val="24"/>
        </w:rPr>
        <w:t>102</w:t>
      </w:r>
      <w:r>
        <w:rPr>
          <w:color w:val="353744"/>
          <w:sz w:val="24"/>
          <w:szCs w:val="24"/>
        </w:rPr>
        <w:t xml:space="preserve">(3), 588–600. </w:t>
      </w:r>
      <w:hyperlink r:id="rId7">
        <w:r>
          <w:rPr>
            <w:color w:val="1155CC"/>
            <w:sz w:val="24"/>
            <w:szCs w:val="24"/>
            <w:u w:val="single"/>
          </w:rPr>
          <w:t>http://dx.doi.org/10.1037/a0019682</w:t>
        </w:r>
      </w:hyperlink>
    </w:p>
    <w:p w14:paraId="3B258224" w14:textId="77777777" w:rsidR="0035053E" w:rsidRDefault="0035053E">
      <w:pPr>
        <w:spacing w:after="0" w:line="240" w:lineRule="auto"/>
        <w:ind w:left="720" w:hanging="720"/>
        <w:rPr>
          <w:sz w:val="24"/>
          <w:szCs w:val="24"/>
        </w:rPr>
      </w:pPr>
    </w:p>
    <w:p w14:paraId="28FE7895" w14:textId="77777777" w:rsidR="0035053E" w:rsidRDefault="00000000">
      <w:pPr>
        <w:spacing w:after="0" w:line="240" w:lineRule="auto"/>
        <w:ind w:left="720" w:hanging="720"/>
        <w:rPr>
          <w:sz w:val="24"/>
          <w:szCs w:val="24"/>
        </w:rPr>
      </w:pPr>
      <w:r>
        <w:rPr>
          <w:color w:val="000000"/>
          <w:sz w:val="24"/>
          <w:szCs w:val="24"/>
        </w:rPr>
        <w:t xml:space="preserve">McDowell, M., &amp; McTighe, J. (2021). </w:t>
      </w:r>
      <w:r>
        <w:rPr>
          <w:i/>
          <w:color w:val="000000"/>
          <w:sz w:val="24"/>
          <w:szCs w:val="24"/>
        </w:rPr>
        <w:t>Teaching for transfer: A guide for designing learning with real-world application</w:t>
      </w:r>
      <w:r>
        <w:rPr>
          <w:color w:val="000000"/>
          <w:sz w:val="24"/>
          <w:szCs w:val="24"/>
        </w:rPr>
        <w:t>. Solution Tree Press.</w:t>
      </w:r>
      <w:r>
        <w:rPr>
          <w:sz w:val="24"/>
          <w:szCs w:val="24"/>
        </w:rPr>
        <w:t xml:space="preserve"> </w:t>
      </w:r>
    </w:p>
    <w:p w14:paraId="4564B1AA" w14:textId="77777777" w:rsidR="0035053E" w:rsidRDefault="0035053E">
      <w:pPr>
        <w:spacing w:after="0" w:line="240" w:lineRule="auto"/>
        <w:ind w:left="720" w:hanging="720"/>
        <w:rPr>
          <w:color w:val="000000"/>
          <w:sz w:val="24"/>
          <w:szCs w:val="24"/>
        </w:rPr>
      </w:pPr>
    </w:p>
    <w:p w14:paraId="43008FD0" w14:textId="77777777" w:rsidR="0035053E" w:rsidRDefault="00000000">
      <w:pPr>
        <w:spacing w:after="0" w:line="240" w:lineRule="auto"/>
        <w:ind w:left="720" w:hanging="720"/>
        <w:rPr>
          <w:sz w:val="24"/>
          <w:szCs w:val="24"/>
        </w:rPr>
      </w:pPr>
      <w:r>
        <w:rPr>
          <w:color w:val="000000"/>
          <w:sz w:val="24"/>
          <w:szCs w:val="24"/>
        </w:rPr>
        <w:t xml:space="preserve">National Research Council. 2005. How students learn: Science in the classroom. The National Academies Press. </w:t>
      </w:r>
      <w:hyperlink r:id="rId8">
        <w:r>
          <w:rPr>
            <w:color w:val="1155CC"/>
            <w:sz w:val="24"/>
            <w:szCs w:val="24"/>
            <w:u w:val="single"/>
          </w:rPr>
          <w:t>https://doi.org/10.17226/11102</w:t>
        </w:r>
      </w:hyperlink>
    </w:p>
    <w:p w14:paraId="0799FC3A" w14:textId="77777777" w:rsidR="0035053E" w:rsidRDefault="0035053E">
      <w:pPr>
        <w:spacing w:after="0" w:line="240" w:lineRule="auto"/>
        <w:rPr>
          <w:sz w:val="24"/>
          <w:szCs w:val="24"/>
        </w:rPr>
      </w:pPr>
    </w:p>
    <w:p w14:paraId="396DF27F" w14:textId="77777777" w:rsidR="0035053E" w:rsidRDefault="0035053E"/>
    <w:sectPr w:rsidR="0035053E">
      <w:headerReference w:type="default" r:id="rId9"/>
      <w:footerReference w:type="default" r:id="rId10"/>
      <w:headerReference w:type="first" r:id="rId11"/>
      <w:footerReference w:type="first" r:id="rId12"/>
      <w:pgSz w:w="12240" w:h="15840"/>
      <w:pgMar w:top="1080" w:right="1440" w:bottom="108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756D7" w14:textId="77777777" w:rsidR="00384325" w:rsidRDefault="00384325">
      <w:pPr>
        <w:spacing w:after="0" w:line="240" w:lineRule="auto"/>
      </w:pPr>
      <w:r>
        <w:separator/>
      </w:r>
    </w:p>
  </w:endnote>
  <w:endnote w:type="continuationSeparator" w:id="0">
    <w:p w14:paraId="57A95796" w14:textId="77777777" w:rsidR="00384325" w:rsidRDefault="0038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w:panose1 w:val="020B0604020202020204"/>
    <w:charset w:val="4D"/>
    <w:family w:val="auto"/>
    <w:notTrueType/>
    <w:pitch w:val="variable"/>
    <w:sig w:usb0="2000020F" w:usb1="00000003" w:usb2="00000000" w:usb3="00000000" w:csb0="00000197" w:csb1="00000000"/>
  </w:font>
  <w:font w:name="Montserrat SemiBold">
    <w:panose1 w:val="00000700000000000000"/>
    <w:charset w:val="4D"/>
    <w:family w:val="auto"/>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FEF7" w14:textId="77777777" w:rsidR="0035053E" w:rsidRDefault="00000000">
    <w:pPr>
      <w:pBdr>
        <w:top w:val="nil"/>
        <w:left w:val="nil"/>
        <w:bottom w:val="nil"/>
        <w:right w:val="nil"/>
        <w:between w:val="nil"/>
      </w:pBdr>
      <w:tabs>
        <w:tab w:val="center" w:pos="4680"/>
        <w:tab w:val="right" w:pos="9360"/>
      </w:tabs>
      <w:spacing w:after="0" w:line="240" w:lineRule="auto"/>
      <w:ind w:left="-720" w:right="-720" w:hanging="360"/>
      <w:jc w:val="center"/>
      <w:rPr>
        <w:rFonts w:ascii="Arial" w:eastAsia="Arial" w:hAnsi="Arial" w:cs="Arial"/>
        <w:color w:val="A6A6A6"/>
        <w:sz w:val="16"/>
        <w:szCs w:val="16"/>
      </w:rPr>
    </w:pPr>
    <w:r>
      <w:rPr>
        <w:rFonts w:ascii="Arial" w:eastAsia="Arial" w:hAnsi="Arial" w:cs="Arial"/>
        <w:noProof/>
        <w:color w:val="A6A6A6"/>
        <w:sz w:val="16"/>
        <w:szCs w:val="16"/>
      </w:rPr>
      <w:drawing>
        <wp:inline distT="114300" distB="114300" distL="114300" distR="114300" wp14:anchorId="300B7D5B" wp14:editId="43D4DC02">
          <wp:extent cx="7223760" cy="70385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638" r="637"/>
                  <a:stretch>
                    <a:fillRect/>
                  </a:stretch>
                </pic:blipFill>
                <pic:spPr>
                  <a:xfrm>
                    <a:off x="0" y="0"/>
                    <a:ext cx="7223760" cy="703854"/>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EE10" w14:textId="77777777" w:rsidR="0035053E" w:rsidRDefault="0035053E">
    <w:pPr>
      <w:tabs>
        <w:tab w:val="center" w:pos="4680"/>
        <w:tab w:val="right" w:pos="9360"/>
      </w:tabs>
      <w:ind w:left="-720" w:right="-720" w:hanging="360"/>
      <w:jc w:val="center"/>
      <w:rPr>
        <w:rFonts w:ascii="Arial" w:eastAsia="Arial" w:hAnsi="Arial" w:cs="Arial"/>
        <w:color w:val="A6A6A6"/>
        <w:sz w:val="16"/>
        <w:szCs w:val="16"/>
      </w:rPr>
    </w:pPr>
  </w:p>
  <w:p w14:paraId="3B6A9D13" w14:textId="77777777" w:rsidR="0035053E" w:rsidRDefault="00000000">
    <w:pPr>
      <w:tabs>
        <w:tab w:val="center" w:pos="4680"/>
        <w:tab w:val="right" w:pos="9360"/>
      </w:tabs>
      <w:ind w:left="-720" w:right="-720" w:hanging="360"/>
      <w:jc w:val="center"/>
      <w:rPr>
        <w:rFonts w:ascii="Arial" w:eastAsia="Arial" w:hAnsi="Arial" w:cs="Arial"/>
        <w:color w:val="A6A6A6"/>
        <w:sz w:val="16"/>
        <w:szCs w:val="16"/>
      </w:rPr>
    </w:pPr>
    <w:r>
      <w:rPr>
        <w:rFonts w:ascii="Arial" w:eastAsia="Arial" w:hAnsi="Arial" w:cs="Arial"/>
        <w:noProof/>
        <w:color w:val="A6A6A6"/>
        <w:sz w:val="16"/>
        <w:szCs w:val="16"/>
      </w:rPr>
      <w:drawing>
        <wp:inline distT="114300" distB="114300" distL="114300" distR="114300" wp14:anchorId="0E2A0E55" wp14:editId="7E747CC3">
          <wp:extent cx="7223760" cy="70173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489" r="489"/>
                  <a:stretch>
                    <a:fillRect/>
                  </a:stretch>
                </pic:blipFill>
                <pic:spPr>
                  <a:xfrm>
                    <a:off x="0" y="0"/>
                    <a:ext cx="7223760" cy="70173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E556" w14:textId="77777777" w:rsidR="00384325" w:rsidRDefault="00384325">
      <w:pPr>
        <w:spacing w:after="0" w:line="240" w:lineRule="auto"/>
      </w:pPr>
      <w:r>
        <w:separator/>
      </w:r>
    </w:p>
  </w:footnote>
  <w:footnote w:type="continuationSeparator" w:id="0">
    <w:p w14:paraId="6111B6C2" w14:textId="77777777" w:rsidR="00384325" w:rsidRDefault="00384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6FD9" w14:textId="77777777" w:rsidR="0035053E" w:rsidRDefault="0035053E">
    <w:pPr>
      <w:pBdr>
        <w:top w:val="nil"/>
        <w:left w:val="nil"/>
        <w:bottom w:val="nil"/>
        <w:right w:val="nil"/>
        <w:between w:val="nil"/>
      </w:pBdr>
      <w:tabs>
        <w:tab w:val="center" w:pos="4680"/>
        <w:tab w:val="right" w:pos="9360"/>
      </w:tabs>
      <w:spacing w:after="0" w:line="240" w:lineRule="auto"/>
      <w:ind w:left="-1035"/>
      <w:jc w:val="center"/>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0952" w14:textId="77777777" w:rsidR="0035053E" w:rsidRDefault="00000000">
    <w:pPr>
      <w:tabs>
        <w:tab w:val="center" w:pos="4680"/>
        <w:tab w:val="right" w:pos="9360"/>
      </w:tabs>
      <w:ind w:left="-1035"/>
      <w:jc w:val="center"/>
    </w:pPr>
    <w:r>
      <w:rPr>
        <w:rFonts w:ascii="Arial" w:eastAsia="Arial" w:hAnsi="Arial" w:cs="Arial"/>
        <w:noProof/>
      </w:rPr>
      <w:drawing>
        <wp:inline distT="114300" distB="114300" distL="114300" distR="114300" wp14:anchorId="58090B4C" wp14:editId="6E0342E4">
          <wp:extent cx="7223760" cy="140770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12" b="111"/>
                  <a:stretch>
                    <a:fillRect/>
                  </a:stretch>
                </pic:blipFill>
                <pic:spPr>
                  <a:xfrm>
                    <a:off x="0" y="0"/>
                    <a:ext cx="7223760" cy="140770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42B"/>
    <w:multiLevelType w:val="multilevel"/>
    <w:tmpl w:val="5A781512"/>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FF0007"/>
    <w:multiLevelType w:val="multilevel"/>
    <w:tmpl w:val="7B44686E"/>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3D051ED"/>
    <w:multiLevelType w:val="multilevel"/>
    <w:tmpl w:val="73C028BC"/>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43F5924"/>
    <w:multiLevelType w:val="multilevel"/>
    <w:tmpl w:val="E1249FC4"/>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36A601E"/>
    <w:multiLevelType w:val="multilevel"/>
    <w:tmpl w:val="43044408"/>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757717C"/>
    <w:multiLevelType w:val="multilevel"/>
    <w:tmpl w:val="DB5A895A"/>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C9F067E"/>
    <w:multiLevelType w:val="multilevel"/>
    <w:tmpl w:val="8E84DB74"/>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6B212C8"/>
    <w:multiLevelType w:val="multilevel"/>
    <w:tmpl w:val="7BD2C56A"/>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9827BD2"/>
    <w:multiLevelType w:val="multilevel"/>
    <w:tmpl w:val="14009C3C"/>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1483558"/>
    <w:multiLevelType w:val="multilevel"/>
    <w:tmpl w:val="67CA24F0"/>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59E0C15"/>
    <w:multiLevelType w:val="hybridMultilevel"/>
    <w:tmpl w:val="5698600E"/>
    <w:lvl w:ilvl="0" w:tplc="04090001">
      <w:start w:val="1"/>
      <w:numFmt w:val="bullet"/>
      <w:lvlText w:val=""/>
      <w:lvlJc w:val="left"/>
      <w:pPr>
        <w:ind w:left="649" w:hanging="360"/>
      </w:pPr>
      <w:rPr>
        <w:rFonts w:ascii="Symbol" w:hAnsi="Symbol" w:hint="default"/>
      </w:rPr>
    </w:lvl>
    <w:lvl w:ilvl="1" w:tplc="04090003" w:tentative="1">
      <w:start w:val="1"/>
      <w:numFmt w:val="bullet"/>
      <w:lvlText w:val="o"/>
      <w:lvlJc w:val="left"/>
      <w:pPr>
        <w:ind w:left="1369" w:hanging="360"/>
      </w:pPr>
      <w:rPr>
        <w:rFonts w:ascii="Courier New" w:hAnsi="Courier New" w:cs="Courier New" w:hint="default"/>
      </w:rPr>
    </w:lvl>
    <w:lvl w:ilvl="2" w:tplc="04090005" w:tentative="1">
      <w:start w:val="1"/>
      <w:numFmt w:val="bullet"/>
      <w:lvlText w:val=""/>
      <w:lvlJc w:val="left"/>
      <w:pPr>
        <w:ind w:left="2089" w:hanging="360"/>
      </w:pPr>
      <w:rPr>
        <w:rFonts w:ascii="Wingdings" w:hAnsi="Wingdings" w:hint="default"/>
      </w:rPr>
    </w:lvl>
    <w:lvl w:ilvl="3" w:tplc="04090001" w:tentative="1">
      <w:start w:val="1"/>
      <w:numFmt w:val="bullet"/>
      <w:lvlText w:val=""/>
      <w:lvlJc w:val="left"/>
      <w:pPr>
        <w:ind w:left="2809" w:hanging="360"/>
      </w:pPr>
      <w:rPr>
        <w:rFonts w:ascii="Symbol" w:hAnsi="Symbol" w:hint="default"/>
      </w:rPr>
    </w:lvl>
    <w:lvl w:ilvl="4" w:tplc="04090003" w:tentative="1">
      <w:start w:val="1"/>
      <w:numFmt w:val="bullet"/>
      <w:lvlText w:val="o"/>
      <w:lvlJc w:val="left"/>
      <w:pPr>
        <w:ind w:left="3529" w:hanging="360"/>
      </w:pPr>
      <w:rPr>
        <w:rFonts w:ascii="Courier New" w:hAnsi="Courier New" w:cs="Courier New" w:hint="default"/>
      </w:rPr>
    </w:lvl>
    <w:lvl w:ilvl="5" w:tplc="04090005" w:tentative="1">
      <w:start w:val="1"/>
      <w:numFmt w:val="bullet"/>
      <w:lvlText w:val=""/>
      <w:lvlJc w:val="left"/>
      <w:pPr>
        <w:ind w:left="4249" w:hanging="360"/>
      </w:pPr>
      <w:rPr>
        <w:rFonts w:ascii="Wingdings" w:hAnsi="Wingdings" w:hint="default"/>
      </w:rPr>
    </w:lvl>
    <w:lvl w:ilvl="6" w:tplc="04090001" w:tentative="1">
      <w:start w:val="1"/>
      <w:numFmt w:val="bullet"/>
      <w:lvlText w:val=""/>
      <w:lvlJc w:val="left"/>
      <w:pPr>
        <w:ind w:left="4969" w:hanging="360"/>
      </w:pPr>
      <w:rPr>
        <w:rFonts w:ascii="Symbol" w:hAnsi="Symbol" w:hint="default"/>
      </w:rPr>
    </w:lvl>
    <w:lvl w:ilvl="7" w:tplc="04090003" w:tentative="1">
      <w:start w:val="1"/>
      <w:numFmt w:val="bullet"/>
      <w:lvlText w:val="o"/>
      <w:lvlJc w:val="left"/>
      <w:pPr>
        <w:ind w:left="5689" w:hanging="360"/>
      </w:pPr>
      <w:rPr>
        <w:rFonts w:ascii="Courier New" w:hAnsi="Courier New" w:cs="Courier New" w:hint="default"/>
      </w:rPr>
    </w:lvl>
    <w:lvl w:ilvl="8" w:tplc="04090005" w:tentative="1">
      <w:start w:val="1"/>
      <w:numFmt w:val="bullet"/>
      <w:lvlText w:val=""/>
      <w:lvlJc w:val="left"/>
      <w:pPr>
        <w:ind w:left="6409" w:hanging="360"/>
      </w:pPr>
      <w:rPr>
        <w:rFonts w:ascii="Wingdings" w:hAnsi="Wingdings" w:hint="default"/>
      </w:rPr>
    </w:lvl>
  </w:abstractNum>
  <w:abstractNum w:abstractNumId="11" w15:restartNumberingAfterBreak="0">
    <w:nsid w:val="475B3CA1"/>
    <w:multiLevelType w:val="multilevel"/>
    <w:tmpl w:val="5E181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1C6D2B"/>
    <w:multiLevelType w:val="multilevel"/>
    <w:tmpl w:val="A8CC1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6CB0152"/>
    <w:multiLevelType w:val="multilevel"/>
    <w:tmpl w:val="9410B04C"/>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A8C6414"/>
    <w:multiLevelType w:val="multilevel"/>
    <w:tmpl w:val="64AEFF20"/>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9DC620F"/>
    <w:multiLevelType w:val="multilevel"/>
    <w:tmpl w:val="60B43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A0173FB"/>
    <w:multiLevelType w:val="multilevel"/>
    <w:tmpl w:val="650883F0"/>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FAE311F"/>
    <w:multiLevelType w:val="multilevel"/>
    <w:tmpl w:val="6FEAE114"/>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3886EBE"/>
    <w:multiLevelType w:val="multilevel"/>
    <w:tmpl w:val="8C062B18"/>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49B1FD3"/>
    <w:multiLevelType w:val="multilevel"/>
    <w:tmpl w:val="451A7BE6"/>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42906076">
    <w:abstractNumId w:val="18"/>
  </w:num>
  <w:num w:numId="2" w16cid:durableId="466433705">
    <w:abstractNumId w:val="19"/>
  </w:num>
  <w:num w:numId="3" w16cid:durableId="1713849863">
    <w:abstractNumId w:val="2"/>
  </w:num>
  <w:num w:numId="4" w16cid:durableId="295911558">
    <w:abstractNumId w:val="14"/>
  </w:num>
  <w:num w:numId="5" w16cid:durableId="1671642566">
    <w:abstractNumId w:val="8"/>
  </w:num>
  <w:num w:numId="6" w16cid:durableId="763769518">
    <w:abstractNumId w:val="7"/>
  </w:num>
  <w:num w:numId="7" w16cid:durableId="1932205017">
    <w:abstractNumId w:val="5"/>
  </w:num>
  <w:num w:numId="8" w16cid:durableId="1273711612">
    <w:abstractNumId w:val="4"/>
  </w:num>
  <w:num w:numId="9" w16cid:durableId="1237937589">
    <w:abstractNumId w:val="16"/>
  </w:num>
  <w:num w:numId="10" w16cid:durableId="398796152">
    <w:abstractNumId w:val="17"/>
  </w:num>
  <w:num w:numId="11" w16cid:durableId="440998321">
    <w:abstractNumId w:val="9"/>
  </w:num>
  <w:num w:numId="12" w16cid:durableId="354120120">
    <w:abstractNumId w:val="12"/>
  </w:num>
  <w:num w:numId="13" w16cid:durableId="1978140610">
    <w:abstractNumId w:val="15"/>
  </w:num>
  <w:num w:numId="14" w16cid:durableId="602692129">
    <w:abstractNumId w:val="11"/>
  </w:num>
  <w:num w:numId="15" w16cid:durableId="1957829640">
    <w:abstractNumId w:val="3"/>
  </w:num>
  <w:num w:numId="16" w16cid:durableId="1007244040">
    <w:abstractNumId w:val="0"/>
  </w:num>
  <w:num w:numId="17" w16cid:durableId="1977181504">
    <w:abstractNumId w:val="1"/>
  </w:num>
  <w:num w:numId="18" w16cid:durableId="1105229508">
    <w:abstractNumId w:val="13"/>
  </w:num>
  <w:num w:numId="19" w16cid:durableId="1257590886">
    <w:abstractNumId w:val="6"/>
  </w:num>
  <w:num w:numId="20" w16cid:durableId="7304219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53E"/>
    <w:rsid w:val="001D1FDE"/>
    <w:rsid w:val="0035053E"/>
    <w:rsid w:val="00384325"/>
    <w:rsid w:val="00E7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4779"/>
  <w15:docId w15:val="{8B9AF7A9-6A59-1845-8EA6-8F127601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22"/>
        <w:szCs w:val="22"/>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outlineLvl w:val="1"/>
    </w:pPr>
    <w:rPr>
      <w:rFonts w:ascii="Montserrat SemiBold" w:eastAsia="Montserrat SemiBold" w:hAnsi="Montserrat SemiBold" w:cs="Montserrat SemiBold"/>
      <w:sz w:val="32"/>
      <w:szCs w:val="32"/>
    </w:rPr>
  </w:style>
  <w:style w:type="paragraph" w:styleId="Heading3">
    <w:name w:val="heading 3"/>
    <w:basedOn w:val="Normal"/>
    <w:next w:val="Normal"/>
    <w:uiPriority w:val="9"/>
    <w:semiHidden/>
    <w:unhideWhenUsed/>
    <w:qFormat/>
    <w:pPr>
      <w:keepNext/>
      <w:outlineLvl w:val="2"/>
    </w:pPr>
    <w:rPr>
      <w:rFonts w:ascii="Montserrat SemiBold" w:eastAsia="Montserrat SemiBold" w:hAnsi="Montserrat SemiBold" w:cs="Montserrat SemiBold"/>
      <w:sz w:val="28"/>
      <w:szCs w:val="28"/>
    </w:rPr>
  </w:style>
  <w:style w:type="paragraph" w:styleId="Heading4">
    <w:name w:val="heading 4"/>
    <w:basedOn w:val="Normal"/>
    <w:next w:val="Normal"/>
    <w:uiPriority w:val="9"/>
    <w:semiHidden/>
    <w:unhideWhenUsed/>
    <w:qFormat/>
    <w:pPr>
      <w:keepNext/>
      <w:keepLines/>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pPr>
    <w:rPr>
      <w:b/>
      <w:sz w:val="44"/>
      <w:szCs w:val="44"/>
    </w:rPr>
  </w:style>
  <w:style w:type="paragraph" w:styleId="Subtitle">
    <w:name w:val="Subtitle"/>
    <w:basedOn w:val="Normal"/>
    <w:next w:val="Normal"/>
    <w:uiPriority w:val="11"/>
    <w:qFormat/>
    <w:pPr>
      <w:keepNext/>
      <w:keepLines/>
      <w:spacing w:before="240" w:after="60"/>
    </w:pPr>
    <w:rPr>
      <w:rFonts w:ascii="Montserrat SemiBold" w:eastAsia="Montserrat SemiBold" w:hAnsi="Montserrat SemiBold" w:cs="Montserrat SemiBold"/>
      <w:sz w:val="36"/>
      <w:szCs w:val="36"/>
    </w:rPr>
  </w:style>
  <w:style w:type="table" w:customStyle="1" w:styleId="a">
    <w:basedOn w:val="TableNormal"/>
    <w:pPr>
      <w:spacing w:after="0" w:line="240" w:lineRule="auto"/>
    </w:pPr>
    <w:rPr>
      <w:rFonts w:ascii="Calibri" w:eastAsia="Calibri" w:hAnsi="Calibri" w:cs="Calibri"/>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7226/111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37/a001968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Cox</cp:lastModifiedBy>
  <cp:revision>3</cp:revision>
  <dcterms:created xsi:type="dcterms:W3CDTF">2022-12-15T22:04:00Z</dcterms:created>
  <dcterms:modified xsi:type="dcterms:W3CDTF">2022-12-15T22:07:00Z</dcterms:modified>
</cp:coreProperties>
</file>